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3109F" w14:textId="314AF2C3" w:rsidR="00062D9E" w:rsidRPr="00062D9E" w:rsidRDefault="00062D9E" w:rsidP="00062D9E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left="-1134"/>
        <w:outlineLvl w:val="0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062D9E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Załącznik nr 1 d</w:t>
      </w:r>
      <w:r w:rsidR="002A2140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o zapytania cenowego DZ/AM-231-66</w:t>
      </w:r>
      <w:r w:rsidRPr="00062D9E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/26</w:t>
      </w:r>
    </w:p>
    <w:p w14:paraId="36381339" w14:textId="77777777" w:rsidR="002A2140" w:rsidRPr="00062D9E" w:rsidRDefault="002A2140" w:rsidP="002A21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851"/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</w:pPr>
    </w:p>
    <w:p w14:paraId="20464FBF" w14:textId="77777777" w:rsidR="002A2140" w:rsidRPr="00062D9E" w:rsidRDefault="002A2140" w:rsidP="002A21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1134"/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</w:pPr>
      <w:r w:rsidRPr="00062D9E"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  <w:t>Parametry techniczne – monitor do pomiarów hemodynamicznych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5462"/>
        <w:gridCol w:w="2127"/>
        <w:gridCol w:w="2976"/>
      </w:tblGrid>
      <w:tr w:rsidR="002A2140" w:rsidRPr="00062D9E" w14:paraId="19715874" w14:textId="77777777" w:rsidTr="00007843">
        <w:trPr>
          <w:trHeight w:val="340"/>
        </w:trPr>
        <w:tc>
          <w:tcPr>
            <w:tcW w:w="492" w:type="dxa"/>
            <w:shd w:val="pct15" w:color="auto" w:fill="auto"/>
            <w:vAlign w:val="center"/>
          </w:tcPr>
          <w:p w14:paraId="446E044A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Lp.</w:t>
            </w:r>
          </w:p>
        </w:tc>
        <w:tc>
          <w:tcPr>
            <w:tcW w:w="5462" w:type="dxa"/>
            <w:shd w:val="pct15" w:color="auto" w:fill="auto"/>
            <w:vAlign w:val="center"/>
          </w:tcPr>
          <w:p w14:paraId="4BA763AC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Parametry wymagane</w:t>
            </w:r>
          </w:p>
        </w:tc>
        <w:tc>
          <w:tcPr>
            <w:tcW w:w="2127" w:type="dxa"/>
            <w:shd w:val="pct15" w:color="auto" w:fill="auto"/>
            <w:vAlign w:val="center"/>
          </w:tcPr>
          <w:p w14:paraId="6FA7A0B0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Wartość wymagana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0CCC6CA9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 oferowany</w:t>
            </w:r>
          </w:p>
        </w:tc>
      </w:tr>
      <w:tr w:rsidR="002A2140" w:rsidRPr="00062D9E" w14:paraId="3CB8D17A" w14:textId="77777777" w:rsidTr="00007843">
        <w:trPr>
          <w:trHeight w:val="340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2C5B1170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Informacje ogólne</w:t>
            </w:r>
          </w:p>
        </w:tc>
      </w:tr>
      <w:tr w:rsidR="002A2140" w:rsidRPr="00062D9E" w14:paraId="7C00048D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1948FC5B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vAlign w:val="center"/>
          </w:tcPr>
          <w:p w14:paraId="2005EA08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Producent/kraj</w:t>
            </w:r>
          </w:p>
        </w:tc>
        <w:tc>
          <w:tcPr>
            <w:tcW w:w="2127" w:type="dxa"/>
            <w:vAlign w:val="center"/>
          </w:tcPr>
          <w:p w14:paraId="1DEFE683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2976" w:type="dxa"/>
            <w:vAlign w:val="center"/>
          </w:tcPr>
          <w:p w14:paraId="176AEC82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6918E891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27BB8072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vAlign w:val="center"/>
          </w:tcPr>
          <w:p w14:paraId="5F3B6C8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Model/Typ</w:t>
            </w:r>
          </w:p>
        </w:tc>
        <w:tc>
          <w:tcPr>
            <w:tcW w:w="2127" w:type="dxa"/>
            <w:vAlign w:val="center"/>
          </w:tcPr>
          <w:p w14:paraId="05C066F2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2976" w:type="dxa"/>
            <w:vAlign w:val="center"/>
          </w:tcPr>
          <w:p w14:paraId="4139FFD8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7460175C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7B9F007A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vAlign w:val="center"/>
          </w:tcPr>
          <w:p w14:paraId="1DE2478D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Urządzenie fabrycznie nowe (rok produkcji nie wcześniej niż 202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5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), kompletne i gotowe do użycia – bez dodatkowych nakładów finansowych ze strony Zamawiającego</w:t>
            </w:r>
          </w:p>
        </w:tc>
        <w:tc>
          <w:tcPr>
            <w:tcW w:w="2127" w:type="dxa"/>
            <w:vAlign w:val="center"/>
          </w:tcPr>
          <w:p w14:paraId="0CDFB030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7C76CB3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6261CA" w14:paraId="7A7646BE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256D1EC8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</w:tcPr>
          <w:p w14:paraId="6642A9F5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Urządzenie zgodne z Rozporządzeniem 2017/745 w sprawie wyrobów medycznych (MDR) bądź zgodne z Dyrektywą Rady 93/42/EEC (MDD) wraz z późniejszymi przepisami przejściowymi, potwierdzone deklaracją zgodności i/lub certyfikatem CE (w zależności od klasy wyrobu medycznego) oraz stosownymi oświadczeniami (jeśli wymaga) </w:t>
            </w:r>
          </w:p>
        </w:tc>
        <w:tc>
          <w:tcPr>
            <w:tcW w:w="2127" w:type="dxa"/>
            <w:vAlign w:val="center"/>
          </w:tcPr>
          <w:p w14:paraId="267F0AE6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 i załączyć dokumenty potwierdzające (jeżeli posiada)</w:t>
            </w:r>
          </w:p>
        </w:tc>
        <w:tc>
          <w:tcPr>
            <w:tcW w:w="2976" w:type="dxa"/>
            <w:vAlign w:val="center"/>
          </w:tcPr>
          <w:p w14:paraId="72D1ECCC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5077128C" w14:textId="77777777" w:rsidTr="00007843">
        <w:trPr>
          <w:trHeight w:val="359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2684D1F3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Parametry podstawowe</w:t>
            </w:r>
          </w:p>
        </w:tc>
      </w:tr>
      <w:tr w:rsidR="002A2140" w:rsidRPr="00062D9E" w14:paraId="04A52C1F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030F5257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68009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Platforma hemodynamiczna do pomiarów parametrów hemodynamicznych metodą nieinwazyjną, małoinwazyjną i inwazyjną oraz saturacji tkankowej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CE7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38CF52B8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381A1F28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4F9A5B7B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45CB1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Ocena hemodynamiczna układu krążenia wykorzystująca istniejącą krzywą ciśnienia tętniczego pacjenta do ciągłego pomiaru pojemności minutowej serca w oparciu o pomiar ciśnienia tętniczego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D86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52FFBD9D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5469D2CF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5D2A0351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E26B3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Ocena hemodynamiczna za pomocą mankietów na palec wykorzystujących metodę zaciśniętej objętości (ang. </w:t>
            </w:r>
            <w:proofErr w:type="spellStart"/>
            <w:r w:rsidRPr="00062D9E">
              <w:rPr>
                <w:rFonts w:ascii="Calibri" w:eastAsia="Times New Roman" w:hAnsi="Calibri" w:cs="Calibri"/>
                <w:i/>
                <w:bdr w:val="none" w:sz="0" w:space="0" w:color="auto"/>
                <w:lang w:val="pl-PL" w:eastAsia="pl-PL"/>
              </w:rPr>
              <w:t>volume-clamp</w:t>
            </w:r>
            <w:proofErr w:type="spellEnd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6690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6DFE6B5D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7A7637F9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7AC92B22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8B2B0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Ciągły pomiar saturacji tkankowej w celu emisji światła w zakresie bliskiej podczerwieni (metodą NIRS)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BCD1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0BC75E38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71CCF1F4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244E3D0D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8DD48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Wyświetlanie danych w postaci ekranów:</w:t>
            </w:r>
          </w:p>
          <w:p w14:paraId="659E10E2" w14:textId="77777777" w:rsidR="002A2140" w:rsidRPr="00062D9E" w:rsidRDefault="002A2140" w:rsidP="00007843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 xml:space="preserve">ekran trendu graficznego umożliwia równoczesne przeglądanie bieżącego statusu i historii wybranych monitorowanych parametrów w formie graficznej </w:t>
            </w:r>
          </w:p>
          <w:p w14:paraId="7BFAA65C" w14:textId="77777777" w:rsidR="002A2140" w:rsidRPr="00062D9E" w:rsidRDefault="002A2140" w:rsidP="00007843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ekran trendu tabelarycznego umożliwia równoczesne przeglądanie bieżącego statusu i historii wybranych monitorowanych parametrów w formie tabelarycznej</w:t>
            </w:r>
          </w:p>
          <w:p w14:paraId="59CD05B7" w14:textId="77777777" w:rsidR="002A2140" w:rsidRPr="00062D9E" w:rsidRDefault="002A2140" w:rsidP="00007843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ekran stanu fizjologicznego jako animacja obrazująca wzajemne interakcje między sercem, krwią a układem krwionośnym</w:t>
            </w:r>
          </w:p>
          <w:p w14:paraId="296125B5" w14:textId="77777777" w:rsidR="002A2140" w:rsidRPr="00062D9E" w:rsidRDefault="002A2140" w:rsidP="00007843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lastRenderedPageBreak/>
              <w:t>ekran kokpit wyświetlany jako ekran z dużymi kołami parametrów wskazujące granicznie zakresy i wartości alarmowe</w:t>
            </w:r>
          </w:p>
          <w:p w14:paraId="0EF05DA2" w14:textId="77777777" w:rsidR="002A2140" w:rsidRPr="00062D9E" w:rsidRDefault="002A2140" w:rsidP="00007843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 xml:space="preserve">ekran ustalania pozycji celu pozwalający użytkownikowi monitorować i śledzić relację dwóch parametrów </w:t>
            </w:r>
          </w:p>
          <w:p w14:paraId="3644D144" w14:textId="77777777" w:rsidR="002A2140" w:rsidRPr="00062D9E" w:rsidRDefault="002A2140" w:rsidP="00007843">
            <w:pPr>
              <w:pStyle w:val="Akapitzlist"/>
              <w:numPr>
                <w:ilvl w:val="0"/>
                <w:numId w:val="20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dodatkowy ekran ze wskaźnikiem informującym o HPI (wskaźnik ryzyka wystąpienia hipotensji), który wyświetla informacje na temat przyczyn wysokiego prawdopodobieństwa niedociśnienia lub przyczyn wystąpienia niedociśnienia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E72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lastRenderedPageBreak/>
              <w:t>TAK</w:t>
            </w:r>
          </w:p>
        </w:tc>
        <w:tc>
          <w:tcPr>
            <w:tcW w:w="2976" w:type="dxa"/>
            <w:vAlign w:val="center"/>
          </w:tcPr>
          <w:p w14:paraId="34DBDD7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5F17C2DA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5E6B0CE8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B1671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Ekran dotykowy o przekątnej min. 12 cali i rozdzielczości min. 1024 x 768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D80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1B852CE3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14BE8981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2D9AFC7D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51257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Wejścia/wyjścia transmisyjne, min.: port RJ-45, port HDMI oraz wejście monitora EKG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5FA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01BB97E3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453D0E16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6CADC985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8D1E0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Dodatkowe zasilanie akumulatorowe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613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26F5F823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5D6DF780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525244BF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43CA9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Menu w języku polskim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8011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058F16E5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3DDF1041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5EBCDF10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6426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Waga aparatu max. 12 kg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32B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0179EF54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158EB508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317F63EF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9905A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Możliwość transferu danych przez porty USB (min. 2) w postaci plików elektronicznych w formatach umożliwiających odczyt danych (np. w formatach arkuszy kalkulacyjnych lub plików graficznych)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C64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582B70A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1962881A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1EC3A403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7D218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Statyw jezdny do zamontowania monitora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B5B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441FF764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3F275B56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740C1FF0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239D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Platforma wyposażona w: </w:t>
            </w:r>
          </w:p>
          <w:p w14:paraId="71E2C0E7" w14:textId="77777777" w:rsidR="002A2140" w:rsidRPr="00062D9E" w:rsidRDefault="002A2140" w:rsidP="00007843">
            <w:pPr>
              <w:pStyle w:val="Akapitzlist"/>
              <w:numPr>
                <w:ilvl w:val="0"/>
                <w:numId w:val="20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system wraz z modułem do pomiarów małoinwazyjnych metodą analizy fazy tętna</w:t>
            </w:r>
          </w:p>
          <w:p w14:paraId="230F5428" w14:textId="77777777" w:rsidR="002A2140" w:rsidRPr="00062D9E" w:rsidRDefault="002A2140" w:rsidP="00007843">
            <w:pPr>
              <w:pStyle w:val="Akapitzlist"/>
              <w:numPr>
                <w:ilvl w:val="0"/>
                <w:numId w:val="20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 xml:space="preserve">moduł do pomiarów hemodynamicznych wykorzystujący zaawansowaną technologię ciągłego nieinwazyjnego pomiaru ciśnienia w tętnicy </w:t>
            </w:r>
            <w:r>
              <w:rPr>
                <w:rFonts w:ascii="Calibri" w:hAnsi="Calibri" w:cs="Calibri"/>
                <w:sz w:val="24"/>
                <w:szCs w:val="24"/>
              </w:rPr>
              <w:t>promieniowej</w:t>
            </w:r>
          </w:p>
          <w:p w14:paraId="1E1C4E49" w14:textId="77777777" w:rsidR="002A2140" w:rsidRPr="000431F4" w:rsidRDefault="002A2140" w:rsidP="00007843">
            <w:pPr>
              <w:pStyle w:val="Akapitzlist"/>
              <w:numPr>
                <w:ilvl w:val="0"/>
                <w:numId w:val="20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moduł do pomiaru saturacji tkankowej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127F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34767305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BB16F4" w14:paraId="059F422F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63E7C7E2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C1A8B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BB16F4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Sprzęt dopuszczony do stosowania u pacjentów onkologicznych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207B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59C214A7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6261CA" w14:paraId="19A5FDA6" w14:textId="77777777" w:rsidTr="00007843">
        <w:trPr>
          <w:trHeight w:val="340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49BAADAF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Wymagane parametry monitorowane lub wyliczane</w:t>
            </w:r>
          </w:p>
        </w:tc>
      </w:tr>
      <w:tr w:rsidR="002A2140" w:rsidRPr="00062D9E" w14:paraId="1B81D316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10009270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E90F5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Rzut serca (CO); rzut serca indeksowany (CI)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B84F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79AA761B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09EAABC9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5E8BAE69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ECD8F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Objętość wyrzutowa (SV); indeks objętości wyrzutowej (SVI)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0B180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7B76716F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5BF43EE7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0ACCE642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A3A34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Systemowy (obwodowy) opór naczyniowy (SVR); indeks systemowego oporu naczyniowego (SVRI)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E0FE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39CF2CB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62939887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441E0181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C86A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Centralne ciśnienie żylne (OCŻ), ciśnienie średnie tętnicze (MAP), częstość tętna (PR)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B2BB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7CD06A86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31D3338B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534F6B01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8D7C9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Zmienność objętości wyrzutowej (SVV)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0C5E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0EE63D88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09DA2625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0E6D2AA0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8E869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Zmienność ciśnienia tętna (PPV)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8C509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163BA949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7A8737AE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10F61E01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9C78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Wskaźnik ryzyka wystąpienia hipotensji HPI aktualizowany z minimalną częstotliwością co min. 20 sekund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7F7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7EBB826B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18F66F64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3070154F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E3E5B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Dynamiczna elastancja tętnic (</w:t>
            </w:r>
            <w:proofErr w:type="spellStart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Eadyn</w:t>
            </w:r>
            <w:proofErr w:type="spellEnd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 aktualizowany z minimalną częstotliwością co min. 20 sekund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0DE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4AB19037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60CF8FD7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411C07E6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7E1B6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Wskaźnik obwodowy kurczliwości lewej komory (</w:t>
            </w:r>
            <w:proofErr w:type="spellStart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dP</w:t>
            </w:r>
            <w:proofErr w:type="spellEnd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/</w:t>
            </w:r>
            <w:proofErr w:type="spellStart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dt</w:t>
            </w:r>
            <w:proofErr w:type="spellEnd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 aktualizowany z minimalną częstotliwością co min. 20 sekund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F72F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55F9877C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334713BF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15CE053F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0912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Saturacja tkankowa (StO2)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C072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2FB7A524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03FBA0BF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48CD4CAB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32480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Parametr całkowitej hemoglobiny we krwi (</w:t>
            </w:r>
            <w:proofErr w:type="spellStart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tHb</w:t>
            </w:r>
            <w:proofErr w:type="spellEnd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F6F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605DA7CF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546F48EA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67526C1E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AA598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Mózgowy wskaźnik adaptacyjnym (CAI)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AB3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23D8EFAB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6261CA" w14:paraId="43B941ED" w14:textId="77777777" w:rsidTr="00007843">
        <w:trPr>
          <w:trHeight w:val="340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4C4D1206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Akcesoria jednorazowe kompatybilne z oferowanym urządzeniem</w:t>
            </w:r>
          </w:p>
        </w:tc>
      </w:tr>
      <w:tr w:rsidR="002A2140" w:rsidRPr="00062D9E" w14:paraId="2B82EDBD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35230175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BAF9C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Czujnik do parametrów hemodynamicznych wykrywający prawdopodobieństwo wystąpienia zdarzenia hipotensyjnego z dostępu z tętnicy promieniowej </w:t>
            </w: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– 50 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BFC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 nr katalogowy</w:t>
            </w:r>
          </w:p>
        </w:tc>
        <w:tc>
          <w:tcPr>
            <w:tcW w:w="2976" w:type="dxa"/>
            <w:vAlign w:val="center"/>
          </w:tcPr>
          <w:p w14:paraId="66A6E3ED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0133D961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58E7420D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DD71F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Czujnik do parametrów hemodynamicznych wykrywający w sposób nieinwazyjny prawdopodobieństwo wystąpienia zdarzenia hipotensyjnego – </w:t>
            </w: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150 szt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976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 nr katalogowy</w:t>
            </w:r>
          </w:p>
        </w:tc>
        <w:tc>
          <w:tcPr>
            <w:tcW w:w="2976" w:type="dxa"/>
            <w:vAlign w:val="center"/>
          </w:tcPr>
          <w:p w14:paraId="71C72DC5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12D32CC3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3D2706A0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5FE4C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Elektrody do pomiaru saturacji tkankowej z pomiarem hemoglobiny oraz</w:t>
            </w:r>
            <w:r w:rsidRPr="00062D9E">
              <w:rPr>
                <w:rFonts w:ascii="Calibri" w:hAnsi="Calibri" w:cs="Calibri"/>
                <w:lang w:val="pl-PL"/>
              </w:rPr>
              <w:t xml:space="preserve">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mózgowym wskaźnikiem adaptacyjnym (CAI) </w:t>
            </w: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– 60 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643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 nr katalogowy</w:t>
            </w:r>
          </w:p>
        </w:tc>
        <w:tc>
          <w:tcPr>
            <w:tcW w:w="2976" w:type="dxa"/>
            <w:vAlign w:val="center"/>
          </w:tcPr>
          <w:p w14:paraId="5535FA61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393D13B7" w14:textId="77777777" w:rsidTr="00007843">
        <w:trPr>
          <w:trHeight w:val="409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4A69004B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Gwarancja i serwis</w:t>
            </w:r>
          </w:p>
        </w:tc>
      </w:tr>
      <w:tr w:rsidR="002A2140" w:rsidRPr="00062D9E" w14:paraId="49546271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772A1E7B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4E12" w14:textId="77777777" w:rsidR="002A2140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Gwarancja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: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min.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36 miesięcy</w:t>
            </w:r>
          </w:p>
          <w:p w14:paraId="291FC5E8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N</w:t>
            </w:r>
            <w:r w:rsidRPr="00062D9E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>ie krótsza jednak od okresu gwarancji zapewnionej przez producenta urządzenia - liczone od daty podpisania protokołu zdawczo-odbiorczego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260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44D8B995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12C0F163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455176AC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745B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okresie gwarancji przeglądy gwarancyjne zgodnie z zaleceniami producenta wraz ze wszystkimi częściami niezbędnymi do wykonania przeglądów oraz zapewnienie aktualizacji oprogramowania do najnowszej, dostępnej wersji na rynku</w:t>
            </w:r>
          </w:p>
          <w:p w14:paraId="4D76B906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okresie gwarancji Zamawiający wymaga wykonania co najmniej 1 przeglądu w ostatnim miesiącu gwarancji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FF95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>TAK, podać częstotliwość</w:t>
            </w:r>
          </w:p>
        </w:tc>
        <w:tc>
          <w:tcPr>
            <w:tcW w:w="2976" w:type="dxa"/>
            <w:vAlign w:val="center"/>
          </w:tcPr>
          <w:p w14:paraId="7AEDE040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i/>
                <w:color w:val="000000"/>
                <w:bdr w:val="none" w:sz="0" w:space="0" w:color="auto"/>
                <w:lang w:val="pl-PL" w:eastAsia="pl-PL"/>
              </w:rPr>
              <w:t>Częstotliwość wymagana przez producenta: …….</w:t>
            </w:r>
          </w:p>
        </w:tc>
      </w:tr>
      <w:tr w:rsidR="002A2140" w:rsidRPr="00062D9E" w14:paraId="3978BEB6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0EF91971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98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Uruchomienie sprzętu w miejscu wskazanym przez Zamawiającego oraz  przeglądy w okresie gwarancji – w cenie urządzenia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2439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09A27BEC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i/>
                <w:color w:val="000000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720454F1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68392BE0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0F75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Gwarancja dostępności części zamiennych min. 10 lat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E899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4E6E2167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06A95241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2B3B8A4D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836A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Wykonawca zobowiązuje się do przeprowadzenia szkolenia dla personelu medycznego w zakresie obsługi i eksploatacji zakupionego sprzętu. Szkolenie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ma zapewniać prawidłową i bezpieczną pracę na urządzeniu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525F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TAK</w:t>
            </w:r>
          </w:p>
        </w:tc>
        <w:tc>
          <w:tcPr>
            <w:tcW w:w="2976" w:type="dxa"/>
            <w:vAlign w:val="center"/>
          </w:tcPr>
          <w:p w14:paraId="7707F0AF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1755CCFC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28C531A6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8353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Wykonawca zobowiązuje się do przeprowadzenia szkolenia dla pracowników Działu Aparatury Medycznej w zakresie budowy, kontroli, diagnostyki zakupionego sprzętu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CEB6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6096E180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A2140" w:rsidRPr="00062D9E" w14:paraId="3E9E1CB3" w14:textId="77777777" w:rsidTr="00007843">
        <w:trPr>
          <w:trHeight w:val="340"/>
        </w:trPr>
        <w:tc>
          <w:tcPr>
            <w:tcW w:w="492" w:type="dxa"/>
            <w:vAlign w:val="center"/>
          </w:tcPr>
          <w:p w14:paraId="51A59F16" w14:textId="77777777" w:rsidR="002A2140" w:rsidRPr="00062D9E" w:rsidRDefault="002A2140" w:rsidP="00007843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A07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Wykonawca dostarczy Zamawiającemu wraz z urządzeniem:</w:t>
            </w:r>
          </w:p>
          <w:p w14:paraId="582302FB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instrukcja obsługi urządzenia w języku polskim oraz angielskim (jeśli posiada) dostarczona wraz z urządzeniem w formie papierowej oraz elektronicznej</w:t>
            </w:r>
          </w:p>
          <w:p w14:paraId="52363B5D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paszport urządzenia w formie książeczki zawierający co najmniej takie dane jak: nazwa, typ (model), producent, rok produkcji, numer seryjny (fabryczny), inne istotne informacje (itp. części składowe, istotne wyposażenie, oprogramowanie), kody z aktualnie obowiązującego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słownika NFZ (o ile występują)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3302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08018D80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</w:tbl>
    <w:p w14:paraId="234FF94F" w14:textId="77777777" w:rsidR="002A2140" w:rsidRDefault="002A2140" w:rsidP="002A21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tLeast"/>
        <w:ind w:left="-993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</w:p>
    <w:p w14:paraId="24BBD0A6" w14:textId="77777777" w:rsidR="002A2140" w:rsidRPr="00062D9E" w:rsidRDefault="002A2140" w:rsidP="002A21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tLeast"/>
        <w:ind w:left="-993"/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</w:pPr>
      <w:r w:rsidRPr="00062D9E"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  <w:t>I opcja</w:t>
      </w:r>
    </w:p>
    <w:p w14:paraId="54404725" w14:textId="77777777" w:rsidR="002A2140" w:rsidRPr="00062D9E" w:rsidRDefault="002A2140" w:rsidP="002A21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360" w:lineRule="auto"/>
        <w:rPr>
          <w:rFonts w:ascii="Calibri" w:eastAsia="Times New Roman" w:hAnsi="Calibri" w:cs="Calibri"/>
          <w:b/>
          <w:bdr w:val="none" w:sz="0" w:space="0" w:color="auto"/>
          <w:lang w:val="pl-PL"/>
        </w:rPr>
      </w:pPr>
      <w:r w:rsidRPr="00062D9E">
        <w:rPr>
          <w:rFonts w:ascii="Calibri" w:eastAsia="Times New Roman" w:hAnsi="Calibri" w:cs="Calibri"/>
          <w:b/>
          <w:bdr w:val="none" w:sz="0" w:space="0" w:color="auto"/>
          <w:lang w:val="pl-PL"/>
        </w:rPr>
        <w:t xml:space="preserve">SPECYFIKACJA CENOWA </w:t>
      </w:r>
    </w:p>
    <w:tbl>
      <w:tblPr>
        <w:tblW w:w="6230" w:type="pct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3550"/>
        <w:gridCol w:w="803"/>
        <w:gridCol w:w="666"/>
        <w:gridCol w:w="1677"/>
        <w:gridCol w:w="1377"/>
        <w:gridCol w:w="1133"/>
        <w:gridCol w:w="1503"/>
      </w:tblGrid>
      <w:tr w:rsidR="002A2140" w:rsidRPr="00062D9E" w14:paraId="6B878DB9" w14:textId="77777777" w:rsidTr="00007843">
        <w:trPr>
          <w:trHeight w:val="566"/>
        </w:trPr>
        <w:tc>
          <w:tcPr>
            <w:tcW w:w="255" w:type="pct"/>
            <w:shd w:val="clear" w:color="auto" w:fill="CCECFF" w:themeFill="accent1" w:themeFillTint="33"/>
            <w:vAlign w:val="center"/>
          </w:tcPr>
          <w:p w14:paraId="40F64449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L.p.</w:t>
            </w:r>
          </w:p>
        </w:tc>
        <w:tc>
          <w:tcPr>
            <w:tcW w:w="1573" w:type="pct"/>
            <w:shd w:val="clear" w:color="auto" w:fill="CCECFF" w:themeFill="accent1" w:themeFillTint="33"/>
            <w:vAlign w:val="center"/>
          </w:tcPr>
          <w:p w14:paraId="42A6894C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Przedmiot zamówienia</w:t>
            </w:r>
          </w:p>
        </w:tc>
        <w:tc>
          <w:tcPr>
            <w:tcW w:w="356" w:type="pct"/>
            <w:shd w:val="clear" w:color="auto" w:fill="CCECFF" w:themeFill="accent1" w:themeFillTint="33"/>
            <w:vAlign w:val="center"/>
          </w:tcPr>
          <w:p w14:paraId="09EE0E3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proofErr w:type="spellStart"/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j.m</w:t>
            </w:r>
            <w:proofErr w:type="spellEnd"/>
          </w:p>
        </w:tc>
        <w:tc>
          <w:tcPr>
            <w:tcW w:w="295" w:type="pct"/>
            <w:shd w:val="clear" w:color="auto" w:fill="CCECFF" w:themeFill="accent1" w:themeFillTint="33"/>
            <w:vAlign w:val="center"/>
          </w:tcPr>
          <w:p w14:paraId="0CA4132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Ilość</w:t>
            </w:r>
          </w:p>
        </w:tc>
        <w:tc>
          <w:tcPr>
            <w:tcW w:w="743" w:type="pct"/>
            <w:shd w:val="clear" w:color="auto" w:fill="CCECFF" w:themeFill="accent1" w:themeFillTint="33"/>
          </w:tcPr>
          <w:p w14:paraId="0D7F5101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 xml:space="preserve">Cena jednostkowa netto </w:t>
            </w:r>
          </w:p>
        </w:tc>
        <w:tc>
          <w:tcPr>
            <w:tcW w:w="610" w:type="pct"/>
            <w:shd w:val="clear" w:color="auto" w:fill="CCECFF" w:themeFill="accent1" w:themeFillTint="33"/>
            <w:vAlign w:val="center"/>
          </w:tcPr>
          <w:p w14:paraId="68534FAE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Wartość netto</w:t>
            </w:r>
          </w:p>
        </w:tc>
        <w:tc>
          <w:tcPr>
            <w:tcW w:w="502" w:type="pct"/>
            <w:shd w:val="clear" w:color="auto" w:fill="CCECFF" w:themeFill="accent1" w:themeFillTint="33"/>
            <w:vAlign w:val="center"/>
          </w:tcPr>
          <w:p w14:paraId="5F24A88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VAT %</w:t>
            </w:r>
          </w:p>
        </w:tc>
        <w:tc>
          <w:tcPr>
            <w:tcW w:w="666" w:type="pct"/>
            <w:shd w:val="clear" w:color="auto" w:fill="CCECFF" w:themeFill="accent1" w:themeFillTint="33"/>
            <w:vAlign w:val="center"/>
          </w:tcPr>
          <w:p w14:paraId="1C61B5C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Wartość brutto</w:t>
            </w:r>
          </w:p>
        </w:tc>
      </w:tr>
      <w:tr w:rsidR="002A2140" w:rsidRPr="00062D9E" w14:paraId="74258E68" w14:textId="77777777" w:rsidTr="00007843">
        <w:trPr>
          <w:trHeight w:val="176"/>
        </w:trPr>
        <w:tc>
          <w:tcPr>
            <w:tcW w:w="255" w:type="pct"/>
            <w:vAlign w:val="bottom"/>
          </w:tcPr>
          <w:p w14:paraId="4A54EAC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1573" w:type="pct"/>
            <w:shd w:val="clear" w:color="auto" w:fill="auto"/>
            <w:vAlign w:val="bottom"/>
          </w:tcPr>
          <w:p w14:paraId="36BF451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2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62CA155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DA174DB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4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360CF5F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45AB4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 xml:space="preserve">6 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4DC8776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7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E9924C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8</w:t>
            </w:r>
          </w:p>
        </w:tc>
      </w:tr>
      <w:tr w:rsidR="002A2140" w:rsidRPr="00062D9E" w14:paraId="0CDBEB02" w14:textId="77777777" w:rsidTr="00007843">
        <w:trPr>
          <w:trHeight w:val="917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5FD525F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157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1F3EA5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M</w:t>
            </w:r>
            <w:r w:rsidRPr="00062D9E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onitor do pomiarów hemodynamicznych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B2EA5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D55131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30989E1E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9F6AC2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37374A6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5F2E4362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68D3D1EE" w14:textId="77777777" w:rsidTr="00007843">
        <w:trPr>
          <w:trHeight w:val="917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6BD36E7C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2852F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Czujnik do parametrów hemodynamicznych wykrywający prawdopodobieństwo wystąpienia zdarzenia hipotensyjnego z dostępu z tętnicy promieniowej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FC128B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6060B9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386B675C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0B68F93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52D365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428AFB3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4EF19393" w14:textId="77777777" w:rsidTr="00007843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212981B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1EC52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Czujnik do parametrów hemodynamicznych wykrywający w sposób nieinwazyjny prawdopodobieństwo wystąpienia zdarzenia hipotensyjnego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B3F16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40368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150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13780760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EBFA1CC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18AF0A9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0E3629E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490F36ED" w14:textId="77777777" w:rsidTr="00007843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24B74B6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4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3FEC4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Elektrody do pomiaru saturacji tkankowej 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E16AF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D13D5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60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52A90D0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D02587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4E08FCC9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49D69B4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355B51A6" w14:textId="77777777" w:rsidTr="00007843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67BAF6E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F6087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Gwarancja 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F46D5A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m-</w:t>
            </w:r>
            <w:proofErr w:type="spellStart"/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cy</w:t>
            </w:r>
            <w:proofErr w:type="spellEnd"/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7EA9B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36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5412FE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0D7EF7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270A585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52EBA66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6BA1FC46" w14:textId="77777777" w:rsidTr="00007843">
        <w:tc>
          <w:tcPr>
            <w:tcW w:w="255" w:type="pct"/>
            <w:tcBorders>
              <w:left w:val="nil"/>
              <w:bottom w:val="nil"/>
              <w:right w:val="nil"/>
            </w:tcBorders>
            <w:vAlign w:val="center"/>
          </w:tcPr>
          <w:p w14:paraId="0B5828CC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157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1C544" w14:textId="77777777" w:rsidR="002A2140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  <w:p w14:paraId="3A99B38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35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8CBC9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295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BFEA90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53A71E3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SUMA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 xml:space="preserve"> 1-5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D3E6E42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F18AABF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205B5A40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</w:tbl>
    <w:p w14:paraId="4057FE05" w14:textId="77777777" w:rsidR="002A2140" w:rsidRPr="00062D9E" w:rsidRDefault="002A2140" w:rsidP="002A21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tLeast"/>
        <w:ind w:left="-993"/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</w:pPr>
      <w:r w:rsidRPr="00062D9E"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  <w:lastRenderedPageBreak/>
        <w:t>I</w:t>
      </w:r>
      <w:r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  <w:t>I</w:t>
      </w:r>
      <w:r w:rsidRPr="00062D9E"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  <w:t xml:space="preserve"> opcja</w:t>
      </w:r>
    </w:p>
    <w:p w14:paraId="0AB8D193" w14:textId="77777777" w:rsidR="002A2140" w:rsidRPr="00062D9E" w:rsidRDefault="002A2140" w:rsidP="002A21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360" w:lineRule="auto"/>
        <w:rPr>
          <w:rFonts w:ascii="Calibri" w:eastAsia="Times New Roman" w:hAnsi="Calibri" w:cs="Calibri"/>
          <w:b/>
          <w:bdr w:val="none" w:sz="0" w:space="0" w:color="auto"/>
          <w:lang w:val="pl-PL"/>
        </w:rPr>
      </w:pPr>
      <w:r w:rsidRPr="00062D9E">
        <w:rPr>
          <w:rFonts w:ascii="Calibri" w:eastAsia="Times New Roman" w:hAnsi="Calibri" w:cs="Calibri"/>
          <w:b/>
          <w:bdr w:val="none" w:sz="0" w:space="0" w:color="auto"/>
          <w:lang w:val="pl-PL"/>
        </w:rPr>
        <w:t xml:space="preserve">SPECYFIKACJA CENOWA </w:t>
      </w:r>
    </w:p>
    <w:tbl>
      <w:tblPr>
        <w:tblW w:w="6230" w:type="pct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3550"/>
        <w:gridCol w:w="803"/>
        <w:gridCol w:w="666"/>
        <w:gridCol w:w="1677"/>
        <w:gridCol w:w="1377"/>
        <w:gridCol w:w="1133"/>
        <w:gridCol w:w="1503"/>
      </w:tblGrid>
      <w:tr w:rsidR="002A2140" w:rsidRPr="00062D9E" w14:paraId="08A49ABB" w14:textId="77777777" w:rsidTr="00007843">
        <w:trPr>
          <w:trHeight w:val="566"/>
        </w:trPr>
        <w:tc>
          <w:tcPr>
            <w:tcW w:w="255" w:type="pct"/>
            <w:shd w:val="clear" w:color="auto" w:fill="CCECFF" w:themeFill="accent1" w:themeFillTint="33"/>
            <w:vAlign w:val="center"/>
          </w:tcPr>
          <w:p w14:paraId="6F4C9A0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L.p.</w:t>
            </w:r>
          </w:p>
        </w:tc>
        <w:tc>
          <w:tcPr>
            <w:tcW w:w="1573" w:type="pct"/>
            <w:shd w:val="clear" w:color="auto" w:fill="CCECFF" w:themeFill="accent1" w:themeFillTint="33"/>
            <w:vAlign w:val="center"/>
          </w:tcPr>
          <w:p w14:paraId="68BD6C5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Przedmiot zamówienia</w:t>
            </w:r>
          </w:p>
        </w:tc>
        <w:tc>
          <w:tcPr>
            <w:tcW w:w="356" w:type="pct"/>
            <w:shd w:val="clear" w:color="auto" w:fill="CCECFF" w:themeFill="accent1" w:themeFillTint="33"/>
            <w:vAlign w:val="center"/>
          </w:tcPr>
          <w:p w14:paraId="45F1F3D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proofErr w:type="spellStart"/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j.m</w:t>
            </w:r>
            <w:proofErr w:type="spellEnd"/>
          </w:p>
        </w:tc>
        <w:tc>
          <w:tcPr>
            <w:tcW w:w="295" w:type="pct"/>
            <w:shd w:val="clear" w:color="auto" w:fill="CCECFF" w:themeFill="accent1" w:themeFillTint="33"/>
            <w:vAlign w:val="center"/>
          </w:tcPr>
          <w:p w14:paraId="6E24355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Ilość</w:t>
            </w:r>
          </w:p>
        </w:tc>
        <w:tc>
          <w:tcPr>
            <w:tcW w:w="743" w:type="pct"/>
            <w:shd w:val="clear" w:color="auto" w:fill="CCECFF" w:themeFill="accent1" w:themeFillTint="33"/>
          </w:tcPr>
          <w:p w14:paraId="7E1FAB0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 xml:space="preserve">Cena jednostkowa netto </w:t>
            </w:r>
          </w:p>
        </w:tc>
        <w:tc>
          <w:tcPr>
            <w:tcW w:w="610" w:type="pct"/>
            <w:shd w:val="clear" w:color="auto" w:fill="CCECFF" w:themeFill="accent1" w:themeFillTint="33"/>
            <w:vAlign w:val="center"/>
          </w:tcPr>
          <w:p w14:paraId="1FF092E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Wartość netto</w:t>
            </w:r>
          </w:p>
        </w:tc>
        <w:tc>
          <w:tcPr>
            <w:tcW w:w="502" w:type="pct"/>
            <w:shd w:val="clear" w:color="auto" w:fill="CCECFF" w:themeFill="accent1" w:themeFillTint="33"/>
            <w:vAlign w:val="center"/>
          </w:tcPr>
          <w:p w14:paraId="6B4017F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VAT %</w:t>
            </w:r>
          </w:p>
        </w:tc>
        <w:tc>
          <w:tcPr>
            <w:tcW w:w="666" w:type="pct"/>
            <w:shd w:val="clear" w:color="auto" w:fill="CCECFF" w:themeFill="accent1" w:themeFillTint="33"/>
            <w:vAlign w:val="center"/>
          </w:tcPr>
          <w:p w14:paraId="14E3F7C2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Wartość brutto</w:t>
            </w:r>
          </w:p>
        </w:tc>
      </w:tr>
      <w:tr w:rsidR="002A2140" w:rsidRPr="00062D9E" w14:paraId="57D8EF5B" w14:textId="77777777" w:rsidTr="00007843">
        <w:trPr>
          <w:trHeight w:val="176"/>
        </w:trPr>
        <w:tc>
          <w:tcPr>
            <w:tcW w:w="255" w:type="pct"/>
            <w:vAlign w:val="bottom"/>
          </w:tcPr>
          <w:p w14:paraId="2DD0B5D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1573" w:type="pct"/>
            <w:shd w:val="clear" w:color="auto" w:fill="auto"/>
            <w:vAlign w:val="bottom"/>
          </w:tcPr>
          <w:p w14:paraId="3ADC3AD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2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2DCA261E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F2528D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4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F9C6EB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50153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 xml:space="preserve">6 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3E4A6AF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7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7F6885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8</w:t>
            </w:r>
          </w:p>
        </w:tc>
      </w:tr>
      <w:tr w:rsidR="002A2140" w:rsidRPr="00062D9E" w14:paraId="0A02AF13" w14:textId="77777777" w:rsidTr="00007843">
        <w:trPr>
          <w:trHeight w:val="917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3863650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157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2797C1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M</w:t>
            </w:r>
            <w:r w:rsidRPr="00062D9E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onitor do pomiarów hemodynamicznych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F5BBA2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B2BD44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B7B518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4F39F8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413CD9A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56760DF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5050B96C" w14:textId="77777777" w:rsidTr="00007843">
        <w:trPr>
          <w:trHeight w:val="917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2403266C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5D1C1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Czujnik do parametrów hemodynamicznych wykrywający prawdopodobieństwo wystąpienia zdarzenia hipotensyjnego z dostępu z tętnicy promieniowej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ACAEC2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B9138F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C30089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09C5CF0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04A3773E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0E222E2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597EC7C2" w14:textId="77777777" w:rsidTr="00007843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43E653B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6EB32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Czujnik do parametrów hemodynamicznych wykrywający w sposób nieinwazyjny prawdopodobieństwo wystąpienia zdarzenia hipotensyjnego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19DB31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FAD4B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150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1BF829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B01BC56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3CA3152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576F077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456516AB" w14:textId="77777777" w:rsidTr="00007843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6FC241A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4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D9E41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Elektrody do pomiaru saturacji tkankowej 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8CDD62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15D429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60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3F7927C0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5F6B829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0503B45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7A2A575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2E079FB2" w14:textId="77777777" w:rsidTr="00007843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5223805A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FDB8E" w14:textId="77777777" w:rsidR="002A2140" w:rsidRPr="00062D9E" w:rsidRDefault="002A2140" w:rsidP="00007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Gwarancja 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96AEC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m-</w:t>
            </w:r>
            <w:proofErr w:type="spellStart"/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cy</w:t>
            </w:r>
            <w:proofErr w:type="spellEnd"/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BBDA1C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60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4AB71DC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03BF15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36A69071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2EFFFFDD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A2140" w:rsidRPr="00062D9E" w14:paraId="4FD94C9C" w14:textId="77777777" w:rsidTr="00007843">
        <w:tc>
          <w:tcPr>
            <w:tcW w:w="255" w:type="pct"/>
            <w:tcBorders>
              <w:left w:val="nil"/>
              <w:bottom w:val="nil"/>
              <w:right w:val="nil"/>
            </w:tcBorders>
            <w:vAlign w:val="center"/>
          </w:tcPr>
          <w:p w14:paraId="75864468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157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B345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35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35FBE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295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C4CE51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3CFCD6B4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SUMA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 xml:space="preserve"> 1-5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AC59833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196CAA15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78C59B07" w14:textId="77777777" w:rsidR="002A2140" w:rsidRPr="00062D9E" w:rsidRDefault="002A2140" w:rsidP="0000784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</w:tbl>
    <w:p w14:paraId="5E5CDA41" w14:textId="77777777" w:rsidR="002A2140" w:rsidRPr="00062D9E" w:rsidRDefault="002A2140" w:rsidP="002A2140">
      <w:pPr>
        <w:suppressAutoHyphens/>
        <w:spacing w:line="360" w:lineRule="auto"/>
        <w:rPr>
          <w:rFonts w:ascii="Calibri" w:hAnsi="Calibri" w:cs="Calibri"/>
          <w:bCs/>
        </w:rPr>
      </w:pPr>
    </w:p>
    <w:p w14:paraId="2B2DEACC" w14:textId="77777777" w:rsidR="002A2140" w:rsidRPr="00062D9E" w:rsidRDefault="002A2140" w:rsidP="002A2140">
      <w:pPr>
        <w:suppressAutoHyphens/>
        <w:spacing w:line="360" w:lineRule="auto"/>
        <w:rPr>
          <w:rFonts w:ascii="Calibri" w:hAnsi="Calibri" w:cs="Calibri"/>
          <w:bCs/>
        </w:rPr>
      </w:pPr>
      <w:bookmarkStart w:id="0" w:name="_GoBack"/>
      <w:bookmarkEnd w:id="0"/>
    </w:p>
    <w:sectPr w:rsidR="002A2140" w:rsidRPr="00062D9E" w:rsidSect="00062D9E">
      <w:headerReference w:type="default" r:id="rId8"/>
      <w:footerReference w:type="default" r:id="rId9"/>
      <w:pgSz w:w="11900" w:h="16840"/>
      <w:pgMar w:top="109" w:right="1417" w:bottom="1417" w:left="1417" w:header="624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E1277" w14:textId="77777777" w:rsidR="00B4388A" w:rsidRDefault="00B4388A">
      <w:r>
        <w:separator/>
      </w:r>
    </w:p>
  </w:endnote>
  <w:endnote w:type="continuationSeparator" w:id="0">
    <w:p w14:paraId="3E00B8B2" w14:textId="77777777" w:rsidR="00B4388A" w:rsidRDefault="00B4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D27AB" w14:textId="3C095F41" w:rsidR="00B26132" w:rsidRPr="0068353A" w:rsidRDefault="00B26132" w:rsidP="00750D80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A32AB" w14:textId="77777777" w:rsidR="00B4388A" w:rsidRDefault="00B4388A">
      <w:r>
        <w:separator/>
      </w:r>
    </w:p>
  </w:footnote>
  <w:footnote w:type="continuationSeparator" w:id="0">
    <w:p w14:paraId="672B19E1" w14:textId="77777777" w:rsidR="00B4388A" w:rsidRDefault="00B43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35A1F" w14:textId="7A09258F" w:rsidR="00217B14" w:rsidRDefault="00217B14" w:rsidP="0096200F">
    <w:pPr>
      <w:pStyle w:val="Nagwek"/>
      <w:tabs>
        <w:tab w:val="clear" w:pos="4536"/>
      </w:tabs>
      <w:jc w:val="both"/>
      <w:rPr>
        <w:rFonts w:ascii="Arial" w:hAnsi="Arial" w:cs="Arial"/>
        <w:sz w:val="20"/>
        <w:szCs w:val="20"/>
      </w:rPr>
    </w:pPr>
  </w:p>
  <w:p w14:paraId="1582D07A" w14:textId="5329425A" w:rsidR="005B10EC" w:rsidRPr="00EA1A62" w:rsidRDefault="00F25690" w:rsidP="00217B14">
    <w:pPr>
      <w:pStyle w:val="Nagwek"/>
      <w:tabs>
        <w:tab w:val="clear" w:pos="4536"/>
      </w:tabs>
      <w:ind w:left="5954"/>
      <w:rPr>
        <w:sz w:val="20"/>
        <w:szCs w:val="20"/>
      </w:rPr>
    </w:pPr>
    <w:r w:rsidRPr="00EA1A62">
      <w:rPr>
        <w:rFonts w:ascii="Arial" w:hAnsi="Arial" w:cs="Arial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445C4"/>
    <w:multiLevelType w:val="hybridMultilevel"/>
    <w:tmpl w:val="CADE3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7EF7C22"/>
    <w:multiLevelType w:val="hybridMultilevel"/>
    <w:tmpl w:val="F0DE0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A1D38E5"/>
    <w:multiLevelType w:val="hybridMultilevel"/>
    <w:tmpl w:val="91C2455A"/>
    <w:lvl w:ilvl="0" w:tplc="96FE021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E16D8"/>
    <w:multiLevelType w:val="hybridMultilevel"/>
    <w:tmpl w:val="69C04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7"/>
  </w:num>
  <w:num w:numId="5">
    <w:abstractNumId w:val="0"/>
  </w:num>
  <w:num w:numId="6">
    <w:abstractNumId w:val="4"/>
  </w:num>
  <w:num w:numId="7">
    <w:abstractNumId w:val="7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9"/>
  </w:num>
  <w:num w:numId="15">
    <w:abstractNumId w:val="15"/>
  </w:num>
  <w:num w:numId="16">
    <w:abstractNumId w:val="1"/>
  </w:num>
  <w:num w:numId="17">
    <w:abstractNumId w:val="9"/>
  </w:num>
  <w:num w:numId="18">
    <w:abstractNumId w:val="5"/>
  </w:num>
  <w:num w:numId="19">
    <w:abstractNumId w:val="16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5927"/>
    <w:rsid w:val="00026A02"/>
    <w:rsid w:val="00033041"/>
    <w:rsid w:val="000356A9"/>
    <w:rsid w:val="0005337D"/>
    <w:rsid w:val="00062CAF"/>
    <w:rsid w:val="00062D9E"/>
    <w:rsid w:val="00062DF1"/>
    <w:rsid w:val="000701B5"/>
    <w:rsid w:val="00076135"/>
    <w:rsid w:val="00082CF0"/>
    <w:rsid w:val="000A1C37"/>
    <w:rsid w:val="000C4316"/>
    <w:rsid w:val="001521FC"/>
    <w:rsid w:val="00162492"/>
    <w:rsid w:val="00164EA0"/>
    <w:rsid w:val="00174B77"/>
    <w:rsid w:val="001836B8"/>
    <w:rsid w:val="001A3392"/>
    <w:rsid w:val="001A6F43"/>
    <w:rsid w:val="001B1C4A"/>
    <w:rsid w:val="001C37E0"/>
    <w:rsid w:val="001C701D"/>
    <w:rsid w:val="001F1E22"/>
    <w:rsid w:val="001F240E"/>
    <w:rsid w:val="00212C09"/>
    <w:rsid w:val="00214123"/>
    <w:rsid w:val="00217B14"/>
    <w:rsid w:val="00220A82"/>
    <w:rsid w:val="002311CC"/>
    <w:rsid w:val="002631B6"/>
    <w:rsid w:val="00281284"/>
    <w:rsid w:val="002956EB"/>
    <w:rsid w:val="002A2140"/>
    <w:rsid w:val="002B096E"/>
    <w:rsid w:val="002D462F"/>
    <w:rsid w:val="002E20ED"/>
    <w:rsid w:val="002F7B89"/>
    <w:rsid w:val="0030104B"/>
    <w:rsid w:val="00310498"/>
    <w:rsid w:val="003248F1"/>
    <w:rsid w:val="00327093"/>
    <w:rsid w:val="00340595"/>
    <w:rsid w:val="00346745"/>
    <w:rsid w:val="003567D7"/>
    <w:rsid w:val="00367B90"/>
    <w:rsid w:val="003766F9"/>
    <w:rsid w:val="00383A03"/>
    <w:rsid w:val="003A4C0E"/>
    <w:rsid w:val="003B2DC6"/>
    <w:rsid w:val="003D7695"/>
    <w:rsid w:val="003E464F"/>
    <w:rsid w:val="003E77B7"/>
    <w:rsid w:val="003F518D"/>
    <w:rsid w:val="00406AD3"/>
    <w:rsid w:val="0040731F"/>
    <w:rsid w:val="00416606"/>
    <w:rsid w:val="004252DE"/>
    <w:rsid w:val="00425C9C"/>
    <w:rsid w:val="004766A0"/>
    <w:rsid w:val="00487DB2"/>
    <w:rsid w:val="00493320"/>
    <w:rsid w:val="0049491D"/>
    <w:rsid w:val="004A0E2E"/>
    <w:rsid w:val="004C580C"/>
    <w:rsid w:val="004C6A10"/>
    <w:rsid w:val="004E1FE2"/>
    <w:rsid w:val="004E3CB4"/>
    <w:rsid w:val="004F1667"/>
    <w:rsid w:val="004F2401"/>
    <w:rsid w:val="004F2A80"/>
    <w:rsid w:val="00515DAF"/>
    <w:rsid w:val="00525695"/>
    <w:rsid w:val="005551D8"/>
    <w:rsid w:val="0056656C"/>
    <w:rsid w:val="00567BCE"/>
    <w:rsid w:val="00570A1D"/>
    <w:rsid w:val="00577A38"/>
    <w:rsid w:val="00580F74"/>
    <w:rsid w:val="005953C6"/>
    <w:rsid w:val="005A3428"/>
    <w:rsid w:val="005A51C1"/>
    <w:rsid w:val="005B10EC"/>
    <w:rsid w:val="005E072D"/>
    <w:rsid w:val="005E3DC2"/>
    <w:rsid w:val="005E5FF3"/>
    <w:rsid w:val="005F2D49"/>
    <w:rsid w:val="005F7114"/>
    <w:rsid w:val="00616B44"/>
    <w:rsid w:val="00634D4F"/>
    <w:rsid w:val="006450D5"/>
    <w:rsid w:val="0066288A"/>
    <w:rsid w:val="00662C02"/>
    <w:rsid w:val="00672C46"/>
    <w:rsid w:val="00676A49"/>
    <w:rsid w:val="0068353A"/>
    <w:rsid w:val="00686903"/>
    <w:rsid w:val="00686F08"/>
    <w:rsid w:val="00692C8C"/>
    <w:rsid w:val="0069307D"/>
    <w:rsid w:val="006A6350"/>
    <w:rsid w:val="006D0EA1"/>
    <w:rsid w:val="006E20AD"/>
    <w:rsid w:val="006E29A1"/>
    <w:rsid w:val="00724337"/>
    <w:rsid w:val="00726291"/>
    <w:rsid w:val="00736FF3"/>
    <w:rsid w:val="0074492E"/>
    <w:rsid w:val="00750D80"/>
    <w:rsid w:val="0075477C"/>
    <w:rsid w:val="007601F9"/>
    <w:rsid w:val="007624C5"/>
    <w:rsid w:val="007740DA"/>
    <w:rsid w:val="007A31AA"/>
    <w:rsid w:val="007B3A1B"/>
    <w:rsid w:val="007D0CC6"/>
    <w:rsid w:val="007E1D88"/>
    <w:rsid w:val="0082509F"/>
    <w:rsid w:val="008267C1"/>
    <w:rsid w:val="00856846"/>
    <w:rsid w:val="0086281B"/>
    <w:rsid w:val="00862ABB"/>
    <w:rsid w:val="00871137"/>
    <w:rsid w:val="00892181"/>
    <w:rsid w:val="0089377A"/>
    <w:rsid w:val="008C04C7"/>
    <w:rsid w:val="008D3B0F"/>
    <w:rsid w:val="008D4305"/>
    <w:rsid w:val="008D53DD"/>
    <w:rsid w:val="008D664C"/>
    <w:rsid w:val="008E3156"/>
    <w:rsid w:val="00900E31"/>
    <w:rsid w:val="009125B1"/>
    <w:rsid w:val="00920C0B"/>
    <w:rsid w:val="009416E1"/>
    <w:rsid w:val="009559A5"/>
    <w:rsid w:val="0096200F"/>
    <w:rsid w:val="00962448"/>
    <w:rsid w:val="00980D97"/>
    <w:rsid w:val="00992723"/>
    <w:rsid w:val="009A785C"/>
    <w:rsid w:val="009B15F0"/>
    <w:rsid w:val="009D1573"/>
    <w:rsid w:val="009D7141"/>
    <w:rsid w:val="009F15AB"/>
    <w:rsid w:val="00A07837"/>
    <w:rsid w:val="00A46D45"/>
    <w:rsid w:val="00AA0EBA"/>
    <w:rsid w:val="00AB06CB"/>
    <w:rsid w:val="00AC14E6"/>
    <w:rsid w:val="00AC7A09"/>
    <w:rsid w:val="00AC7D64"/>
    <w:rsid w:val="00AF2CA7"/>
    <w:rsid w:val="00B04BB6"/>
    <w:rsid w:val="00B11621"/>
    <w:rsid w:val="00B26132"/>
    <w:rsid w:val="00B33B05"/>
    <w:rsid w:val="00B4388A"/>
    <w:rsid w:val="00B54148"/>
    <w:rsid w:val="00B72635"/>
    <w:rsid w:val="00B74A30"/>
    <w:rsid w:val="00B753B8"/>
    <w:rsid w:val="00B75A32"/>
    <w:rsid w:val="00B81B9D"/>
    <w:rsid w:val="00BA55BE"/>
    <w:rsid w:val="00BB16F4"/>
    <w:rsid w:val="00BD4935"/>
    <w:rsid w:val="00BF6573"/>
    <w:rsid w:val="00C00F58"/>
    <w:rsid w:val="00C05DE9"/>
    <w:rsid w:val="00C05F0B"/>
    <w:rsid w:val="00C1170B"/>
    <w:rsid w:val="00C54656"/>
    <w:rsid w:val="00C60A9A"/>
    <w:rsid w:val="00C7270B"/>
    <w:rsid w:val="00C76D79"/>
    <w:rsid w:val="00C83C43"/>
    <w:rsid w:val="00C85317"/>
    <w:rsid w:val="00CE0B6D"/>
    <w:rsid w:val="00D03F43"/>
    <w:rsid w:val="00D0708B"/>
    <w:rsid w:val="00D164EE"/>
    <w:rsid w:val="00D257BF"/>
    <w:rsid w:val="00D27F4D"/>
    <w:rsid w:val="00D47A52"/>
    <w:rsid w:val="00D53B45"/>
    <w:rsid w:val="00D60C22"/>
    <w:rsid w:val="00D65BC4"/>
    <w:rsid w:val="00D66663"/>
    <w:rsid w:val="00D670D4"/>
    <w:rsid w:val="00D70F63"/>
    <w:rsid w:val="00DC135E"/>
    <w:rsid w:val="00DD44A5"/>
    <w:rsid w:val="00E27363"/>
    <w:rsid w:val="00E30B90"/>
    <w:rsid w:val="00E3141B"/>
    <w:rsid w:val="00E34718"/>
    <w:rsid w:val="00E43CF2"/>
    <w:rsid w:val="00E63169"/>
    <w:rsid w:val="00E729C5"/>
    <w:rsid w:val="00E929CA"/>
    <w:rsid w:val="00E931FB"/>
    <w:rsid w:val="00E94379"/>
    <w:rsid w:val="00EA1A62"/>
    <w:rsid w:val="00EA1E55"/>
    <w:rsid w:val="00EB456F"/>
    <w:rsid w:val="00EE3E9A"/>
    <w:rsid w:val="00EE79F2"/>
    <w:rsid w:val="00F03C92"/>
    <w:rsid w:val="00F06694"/>
    <w:rsid w:val="00F22EBD"/>
    <w:rsid w:val="00F25690"/>
    <w:rsid w:val="00F67A92"/>
    <w:rsid w:val="00F839BD"/>
    <w:rsid w:val="00F962C6"/>
    <w:rsid w:val="00F96EA1"/>
    <w:rsid w:val="00FA00FF"/>
    <w:rsid w:val="00FA0FAC"/>
    <w:rsid w:val="00FA56FF"/>
    <w:rsid w:val="00FB05A2"/>
    <w:rsid w:val="00FB2BFC"/>
    <w:rsid w:val="00FB38D7"/>
    <w:rsid w:val="00FB6A08"/>
    <w:rsid w:val="00FD7E35"/>
    <w:rsid w:val="00FF6F49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B15A"/>
  <w15:docId w15:val="{94ECF6E1-4409-4BBF-B5D8-55B1519C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alibri" w:eastAsia="Calibri" w:hAnsi="Calibri" w:cs="Calibri"/>
      <w:sz w:val="22"/>
      <w:szCs w:val="22"/>
      <w:bdr w:val="none" w:sz="0" w:space="0" w:color="auto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0D9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4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4A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4A30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4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4A3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54E67-C65B-4D9C-A50B-E550E355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1076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Wojcieszek</dc:creator>
  <cp:keywords/>
  <dc:description/>
  <cp:lastModifiedBy>Ewelina Piątek</cp:lastModifiedBy>
  <cp:revision>5</cp:revision>
  <cp:lastPrinted>2026-06-03T08:23:00Z</cp:lastPrinted>
  <dcterms:created xsi:type="dcterms:W3CDTF">2026-05-11T11:34:00Z</dcterms:created>
  <dcterms:modified xsi:type="dcterms:W3CDTF">2026-06-03T08:23:00Z</dcterms:modified>
</cp:coreProperties>
</file>